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6A" w:rsidRPr="00EB0979" w:rsidRDefault="0000706A" w:rsidP="0000706A">
      <w:pPr>
        <w:keepLines/>
        <w:numPr>
          <w:ilvl w:val="0"/>
          <w:numId w:val="37"/>
        </w:numPr>
        <w:spacing w:before="240"/>
        <w:ind w:left="357" w:hanging="357"/>
        <w:jc w:val="both"/>
        <w:rPr>
          <w:rFonts w:ascii="Arial" w:hAnsi="Arial" w:cs="Arial"/>
          <w:sz w:val="22"/>
          <w:szCs w:val="22"/>
        </w:rPr>
      </w:pPr>
      <w:bookmarkStart w:id="0" w:name="_GoBack"/>
      <w:bookmarkEnd w:id="0"/>
      <w:r w:rsidRPr="00EB0979">
        <w:rPr>
          <w:rFonts w:ascii="Arial" w:hAnsi="Arial" w:cs="Arial"/>
          <w:sz w:val="22"/>
          <w:szCs w:val="22"/>
        </w:rPr>
        <w:t>The Queensland Workplace Rights Ombudsman and Queensland Workplace Rights Office w</w:t>
      </w:r>
      <w:r>
        <w:rPr>
          <w:rFonts w:ascii="Arial" w:hAnsi="Arial" w:cs="Arial"/>
          <w:sz w:val="22"/>
          <w:szCs w:val="22"/>
        </w:rPr>
        <w:t>ere</w:t>
      </w:r>
      <w:r w:rsidRPr="00EB0979">
        <w:rPr>
          <w:rFonts w:ascii="Arial" w:hAnsi="Arial" w:cs="Arial"/>
          <w:sz w:val="22"/>
          <w:szCs w:val="22"/>
        </w:rPr>
        <w:t xml:space="preserve"> established in July 2007 under the </w:t>
      </w:r>
      <w:r w:rsidRPr="00EB0979">
        <w:rPr>
          <w:rFonts w:ascii="Arial" w:hAnsi="Arial" w:cs="Arial"/>
          <w:i/>
          <w:sz w:val="22"/>
          <w:szCs w:val="22"/>
        </w:rPr>
        <w:t>Industrial Relations Act 1999</w:t>
      </w:r>
      <w:r w:rsidRPr="00EB0979">
        <w:rPr>
          <w:rFonts w:ascii="Arial" w:hAnsi="Arial" w:cs="Arial"/>
          <w:sz w:val="22"/>
          <w:szCs w:val="22"/>
        </w:rPr>
        <w:t xml:space="preserve"> in response to WorkChoices.  </w:t>
      </w:r>
    </w:p>
    <w:p w:rsidR="0000706A" w:rsidRPr="007A00C1" w:rsidRDefault="0000706A" w:rsidP="0000706A">
      <w:pPr>
        <w:keepLines/>
        <w:numPr>
          <w:ilvl w:val="0"/>
          <w:numId w:val="37"/>
        </w:numPr>
        <w:spacing w:before="240"/>
        <w:ind w:left="357" w:hanging="357"/>
        <w:jc w:val="both"/>
        <w:rPr>
          <w:rFonts w:ascii="Arial" w:hAnsi="Arial" w:cs="Arial"/>
          <w:sz w:val="22"/>
          <w:szCs w:val="22"/>
        </w:rPr>
      </w:pPr>
      <w:r w:rsidRPr="007A00C1">
        <w:rPr>
          <w:rFonts w:ascii="Arial" w:hAnsi="Arial" w:cs="Arial"/>
          <w:sz w:val="22"/>
          <w:szCs w:val="22"/>
        </w:rPr>
        <w:t xml:space="preserve">On 1 January 2010, </w:t>
      </w:r>
      <w:smartTag w:uri="urn:schemas-microsoft-com:office:smarttags" w:element="State">
        <w:smartTag w:uri="urn:schemas-microsoft-com:office:smarttags" w:element="place">
          <w:r w:rsidRPr="007A00C1">
            <w:rPr>
              <w:rFonts w:ascii="Arial" w:hAnsi="Arial" w:cs="Arial"/>
              <w:sz w:val="22"/>
              <w:szCs w:val="22"/>
            </w:rPr>
            <w:t>Queensland</w:t>
          </w:r>
        </w:smartTag>
      </w:smartTag>
      <w:r w:rsidRPr="007A00C1">
        <w:rPr>
          <w:rFonts w:ascii="Arial" w:hAnsi="Arial" w:cs="Arial"/>
          <w:sz w:val="22"/>
          <w:szCs w:val="22"/>
        </w:rPr>
        <w:t xml:space="preserve"> referred its private sector industrial relations jurisdictional powers to the Commonwealth as part of the </w:t>
      </w:r>
      <w:r>
        <w:rPr>
          <w:rFonts w:ascii="Arial" w:hAnsi="Arial" w:cs="Arial"/>
          <w:sz w:val="22"/>
          <w:szCs w:val="22"/>
        </w:rPr>
        <w:t xml:space="preserve">establishment of a </w:t>
      </w:r>
      <w:r w:rsidRPr="007A00C1">
        <w:rPr>
          <w:rFonts w:ascii="Arial" w:hAnsi="Arial" w:cs="Arial"/>
          <w:sz w:val="22"/>
          <w:szCs w:val="22"/>
        </w:rPr>
        <w:t>national workplace relations system</w:t>
      </w:r>
      <w:r>
        <w:rPr>
          <w:rFonts w:ascii="Arial" w:hAnsi="Arial" w:cs="Arial"/>
          <w:sz w:val="22"/>
          <w:szCs w:val="22"/>
        </w:rPr>
        <w:t>.</w:t>
      </w:r>
    </w:p>
    <w:p w:rsidR="0000706A" w:rsidRPr="007A00C1" w:rsidRDefault="0000706A" w:rsidP="0000706A">
      <w:pPr>
        <w:keepLines/>
        <w:numPr>
          <w:ilvl w:val="0"/>
          <w:numId w:val="37"/>
        </w:numPr>
        <w:spacing w:before="240"/>
        <w:ind w:left="357" w:hanging="357"/>
        <w:jc w:val="both"/>
        <w:rPr>
          <w:rFonts w:ascii="Arial" w:hAnsi="Arial" w:cs="Arial"/>
          <w:sz w:val="22"/>
          <w:szCs w:val="22"/>
        </w:rPr>
      </w:pPr>
      <w:r w:rsidRPr="007A00C1">
        <w:rPr>
          <w:rFonts w:ascii="Arial" w:hAnsi="Arial" w:cs="Arial"/>
          <w:sz w:val="22"/>
          <w:szCs w:val="22"/>
        </w:rPr>
        <w:t xml:space="preserve">Section 339C of the </w:t>
      </w:r>
      <w:r w:rsidRPr="00E85307">
        <w:rPr>
          <w:rFonts w:ascii="Arial" w:hAnsi="Arial" w:cs="Arial"/>
          <w:i/>
          <w:sz w:val="22"/>
          <w:szCs w:val="22"/>
        </w:rPr>
        <w:t>Industrial Relations Act 1999</w:t>
      </w:r>
      <w:r w:rsidRPr="007A00C1">
        <w:rPr>
          <w:rFonts w:ascii="Arial" w:hAnsi="Arial" w:cs="Arial"/>
          <w:sz w:val="22"/>
          <w:szCs w:val="22"/>
        </w:rPr>
        <w:t xml:space="preserve"> provides that the position of Ombudsman may be filled or not filled at the discretion of the Government. The appointment of the current Ombudsman will expire on 30 June 2012. </w:t>
      </w:r>
    </w:p>
    <w:p w:rsidR="0000706A" w:rsidRPr="007A00C1" w:rsidRDefault="0000706A" w:rsidP="0000706A">
      <w:pPr>
        <w:keepLines/>
        <w:numPr>
          <w:ilvl w:val="0"/>
          <w:numId w:val="37"/>
        </w:numPr>
        <w:spacing w:before="240"/>
        <w:ind w:left="357" w:hanging="357"/>
        <w:jc w:val="both"/>
        <w:rPr>
          <w:rFonts w:ascii="Arial" w:hAnsi="Arial" w:cs="Arial"/>
          <w:sz w:val="22"/>
          <w:szCs w:val="22"/>
        </w:rPr>
      </w:pPr>
      <w:r w:rsidRPr="007A00C1">
        <w:rPr>
          <w:rFonts w:ascii="Arial" w:hAnsi="Arial" w:cs="Arial"/>
          <w:sz w:val="22"/>
          <w:szCs w:val="22"/>
        </w:rPr>
        <w:t xml:space="preserve">While the </w:t>
      </w:r>
      <w:r w:rsidRPr="00E85307">
        <w:rPr>
          <w:rFonts w:ascii="Arial" w:hAnsi="Arial" w:cs="Arial"/>
          <w:sz w:val="22"/>
          <w:szCs w:val="22"/>
        </w:rPr>
        <w:t xml:space="preserve">Queensland Workplace Rights Office </w:t>
      </w:r>
      <w:r w:rsidRPr="007A00C1">
        <w:rPr>
          <w:rFonts w:ascii="Arial" w:hAnsi="Arial" w:cs="Arial"/>
          <w:sz w:val="22"/>
          <w:szCs w:val="22"/>
        </w:rPr>
        <w:t>has provided information, advisory and referral services for vulnerable workers during the transition to the national industrial relations system, these activities are now offered by the Fair Work Ombudsman and other service providers</w:t>
      </w:r>
      <w:r>
        <w:rPr>
          <w:rFonts w:ascii="Arial" w:hAnsi="Arial" w:cs="Arial"/>
          <w:sz w:val="22"/>
          <w:szCs w:val="22"/>
        </w:rPr>
        <w:t>.</w:t>
      </w:r>
    </w:p>
    <w:p w:rsidR="0000706A" w:rsidRDefault="0000706A" w:rsidP="0000706A">
      <w:pPr>
        <w:keepLines/>
        <w:numPr>
          <w:ilvl w:val="0"/>
          <w:numId w:val="37"/>
        </w:numPr>
        <w:tabs>
          <w:tab w:val="num" w:pos="993"/>
        </w:tabs>
        <w:spacing w:before="240"/>
        <w:jc w:val="both"/>
        <w:rPr>
          <w:rFonts w:ascii="Arial" w:hAnsi="Arial" w:cs="Arial"/>
          <w:sz w:val="22"/>
          <w:szCs w:val="22"/>
        </w:rPr>
      </w:pPr>
      <w:r w:rsidRPr="008403CF">
        <w:rPr>
          <w:rFonts w:ascii="Arial" w:hAnsi="Arial" w:cs="Arial"/>
          <w:sz w:val="22"/>
          <w:szCs w:val="22"/>
          <w:u w:val="single"/>
        </w:rPr>
        <w:t>Cabinet approved</w:t>
      </w:r>
      <w:r w:rsidRPr="00EB0979">
        <w:rPr>
          <w:rFonts w:ascii="Arial" w:hAnsi="Arial" w:cs="Arial"/>
          <w:sz w:val="22"/>
          <w:szCs w:val="22"/>
        </w:rPr>
        <w:t xml:space="preserve"> </w:t>
      </w:r>
      <w:r>
        <w:rPr>
          <w:rFonts w:ascii="Arial" w:hAnsi="Arial" w:cs="Arial"/>
          <w:sz w:val="22"/>
          <w:szCs w:val="22"/>
        </w:rPr>
        <w:t xml:space="preserve">that </w:t>
      </w:r>
      <w:r w:rsidRPr="007A00C1">
        <w:rPr>
          <w:rFonts w:ascii="Arial" w:hAnsi="Arial" w:cs="Arial"/>
          <w:sz w:val="22"/>
          <w:szCs w:val="22"/>
        </w:rPr>
        <w:t>no appointment will be made to the position of Queensland Workplace Rights Ombudsman following the expiry of the term of the existing Ombudsman on 30 June 2012; and the Queensland Workplace Rights Office will be closed on 30 June 2012.</w:t>
      </w:r>
    </w:p>
    <w:p w:rsidR="0000706A" w:rsidRPr="007A00C1" w:rsidRDefault="0000706A" w:rsidP="0000706A">
      <w:pPr>
        <w:keepLines/>
        <w:tabs>
          <w:tab w:val="num" w:pos="993"/>
        </w:tabs>
        <w:spacing w:before="120"/>
        <w:jc w:val="both"/>
        <w:rPr>
          <w:rFonts w:ascii="Arial" w:hAnsi="Arial" w:cs="Arial"/>
          <w:sz w:val="22"/>
          <w:szCs w:val="22"/>
        </w:rPr>
      </w:pPr>
    </w:p>
    <w:p w:rsidR="0000706A" w:rsidRPr="00814262" w:rsidRDefault="0000706A" w:rsidP="0000706A">
      <w:pPr>
        <w:keepLines/>
        <w:numPr>
          <w:ilvl w:val="0"/>
          <w:numId w:val="37"/>
        </w:numPr>
        <w:spacing w:before="120"/>
        <w:ind w:left="357" w:hanging="357"/>
        <w:jc w:val="both"/>
        <w:rPr>
          <w:rFonts w:ascii="Arial" w:hAnsi="Arial" w:cs="Arial"/>
          <w:i/>
          <w:sz w:val="22"/>
          <w:szCs w:val="22"/>
          <w:u w:val="single"/>
        </w:rPr>
      </w:pPr>
      <w:r w:rsidRPr="00814262">
        <w:rPr>
          <w:rFonts w:ascii="Arial" w:hAnsi="Arial" w:cs="Arial"/>
          <w:i/>
          <w:sz w:val="22"/>
          <w:szCs w:val="22"/>
          <w:u w:val="single"/>
        </w:rPr>
        <w:t>Attachments</w:t>
      </w:r>
    </w:p>
    <w:p w:rsidR="0000706A" w:rsidRPr="00EB0979" w:rsidRDefault="0000706A" w:rsidP="0000706A">
      <w:pPr>
        <w:numPr>
          <w:ilvl w:val="0"/>
          <w:numId w:val="44"/>
        </w:numPr>
        <w:spacing w:before="120"/>
        <w:ind w:left="811"/>
        <w:jc w:val="both"/>
        <w:rPr>
          <w:rFonts w:ascii="Arial" w:hAnsi="Arial" w:cs="Arial"/>
          <w:sz w:val="22"/>
          <w:szCs w:val="22"/>
        </w:rPr>
      </w:pPr>
      <w:r w:rsidRPr="00EB0979">
        <w:rPr>
          <w:rFonts w:ascii="Arial" w:hAnsi="Arial" w:cs="Arial"/>
          <w:sz w:val="22"/>
          <w:szCs w:val="22"/>
        </w:rPr>
        <w:t>Nil.</w:t>
      </w:r>
    </w:p>
    <w:p w:rsidR="0000706A" w:rsidRPr="00EB0979" w:rsidRDefault="0000706A" w:rsidP="0000706A">
      <w:pPr>
        <w:rPr>
          <w:rFonts w:ascii="Arial" w:hAnsi="Arial" w:cs="Arial"/>
          <w:sz w:val="22"/>
          <w:szCs w:val="22"/>
        </w:rPr>
      </w:pPr>
    </w:p>
    <w:p w:rsidR="002E287D" w:rsidRPr="0000706A" w:rsidRDefault="002E287D" w:rsidP="0000706A">
      <w:pPr>
        <w:rPr>
          <w:szCs w:val="22"/>
        </w:rPr>
      </w:pPr>
    </w:p>
    <w:sectPr w:rsidR="002E287D" w:rsidRPr="0000706A" w:rsidSect="00DD6C87">
      <w:headerReference w:type="default" r:id="rId8"/>
      <w:footerReference w:type="default" r:id="rId9"/>
      <w:headerReference w:type="first" r:id="rId10"/>
      <w:pgSz w:w="11907" w:h="16840" w:code="9"/>
      <w:pgMar w:top="1134" w:right="1134" w:bottom="851"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68" w:rsidRDefault="00C27F68">
      <w:r>
        <w:separator/>
      </w:r>
    </w:p>
  </w:endnote>
  <w:endnote w:type="continuationSeparator" w:id="0">
    <w:p w:rsidR="00C27F68" w:rsidRDefault="00C2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331" w:rsidRPr="001141E1" w:rsidRDefault="00A21331"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68" w:rsidRDefault="00C27F68">
      <w:r>
        <w:separator/>
      </w:r>
    </w:p>
  </w:footnote>
  <w:footnote w:type="continuationSeparator" w:id="0">
    <w:p w:rsidR="00C27F68" w:rsidRDefault="00C27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331" w:rsidRPr="000400F9" w:rsidRDefault="00C13414" w:rsidP="00B46A4E">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2"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21331" w:rsidRPr="000400F9">
      <w:rPr>
        <w:rFonts w:ascii="Arial" w:hAnsi="Arial" w:cs="Arial"/>
        <w:b/>
        <w:sz w:val="22"/>
        <w:szCs w:val="22"/>
        <w:u w:val="single"/>
      </w:rPr>
      <w:t xml:space="preserve">Cabinet – </w:t>
    </w:r>
    <w:r w:rsidR="00A21331">
      <w:rPr>
        <w:rFonts w:ascii="Arial" w:hAnsi="Arial" w:cs="Arial"/>
        <w:b/>
        <w:sz w:val="22"/>
        <w:szCs w:val="22"/>
        <w:u w:val="single"/>
      </w:rPr>
      <w:t>month year</w:t>
    </w:r>
  </w:p>
  <w:p w:rsidR="00A21331" w:rsidRDefault="00A21331"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A21331" w:rsidRDefault="00A21331"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A21331" w:rsidRPr="00F10DF9" w:rsidRDefault="00A21331"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331" w:rsidRPr="00D75134" w:rsidRDefault="00A21331" w:rsidP="00DD6C87">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A21331" w:rsidRPr="00D75134" w:rsidRDefault="00A21331" w:rsidP="00DD6C87">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A21331" w:rsidRPr="001E209B" w:rsidRDefault="00A21331" w:rsidP="00DD6C87">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May</w:t>
    </w:r>
    <w:r w:rsidRPr="001E209B">
      <w:rPr>
        <w:rFonts w:ascii="Arial" w:hAnsi="Arial" w:cs="Arial"/>
        <w:b/>
        <w:sz w:val="22"/>
        <w:szCs w:val="22"/>
      </w:rPr>
      <w:t xml:space="preserve"> 2012</w:t>
    </w:r>
  </w:p>
  <w:p w:rsidR="00A21331" w:rsidRPr="008403CF" w:rsidRDefault="00A21331" w:rsidP="00DD6C87">
    <w:pPr>
      <w:spacing w:before="120"/>
      <w:jc w:val="both"/>
      <w:rPr>
        <w:rFonts w:ascii="Arial" w:hAnsi="Arial" w:cs="Arial"/>
        <w:b/>
        <w:sz w:val="22"/>
        <w:szCs w:val="22"/>
        <w:u w:val="single"/>
      </w:rPr>
    </w:pPr>
    <w:r w:rsidRPr="008403CF">
      <w:rPr>
        <w:rFonts w:ascii="Arial" w:hAnsi="Arial" w:cs="Arial"/>
        <w:b/>
        <w:sz w:val="22"/>
        <w:szCs w:val="22"/>
        <w:u w:val="single"/>
      </w:rPr>
      <w:t>The Future of the Queensland Workplace Rights Ombudsman and Queensland Workplace Rights Office after 30 June 2012</w:t>
    </w:r>
  </w:p>
  <w:p w:rsidR="00A21331" w:rsidRDefault="00A21331" w:rsidP="00DD6C87">
    <w:pPr>
      <w:pStyle w:val="Header"/>
      <w:spacing w:before="120"/>
      <w:rPr>
        <w:rFonts w:ascii="Arial" w:hAnsi="Arial" w:cs="Arial"/>
        <w:b/>
        <w:sz w:val="22"/>
        <w:szCs w:val="22"/>
        <w:u w:val="single"/>
      </w:rPr>
    </w:pPr>
    <w:r>
      <w:rPr>
        <w:rFonts w:ascii="Arial" w:hAnsi="Arial" w:cs="Arial"/>
        <w:b/>
        <w:sz w:val="22"/>
        <w:szCs w:val="22"/>
        <w:u w:val="single"/>
      </w:rPr>
      <w:t>Attorney-General and Minister for Justice</w:t>
    </w:r>
  </w:p>
  <w:p w:rsidR="00A21331" w:rsidRDefault="00A21331" w:rsidP="00DD6C8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267703"/>
    <w:multiLevelType w:val="hybridMultilevel"/>
    <w:tmpl w:val="23C23D1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D44293"/>
    <w:multiLevelType w:val="multilevel"/>
    <w:tmpl w:val="A77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E4BDC"/>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7811FD"/>
    <w:multiLevelType w:val="hybridMultilevel"/>
    <w:tmpl w:val="74FE90F2"/>
    <w:lvl w:ilvl="0" w:tplc="0C090001">
      <w:start w:val="1"/>
      <w:numFmt w:val="bullet"/>
      <w:lvlText w:val=""/>
      <w:lvlJc w:val="left"/>
      <w:pPr>
        <w:tabs>
          <w:tab w:val="num" w:pos="717"/>
        </w:tabs>
        <w:ind w:left="717" w:hanging="360"/>
      </w:pPr>
      <w:rPr>
        <w:rFonts w:ascii="Symbol" w:hAnsi="Symbol" w:hint="default"/>
        <w:i w:val="0"/>
      </w:rPr>
    </w:lvl>
    <w:lvl w:ilvl="1" w:tplc="B7A0238C">
      <w:start w:val="1"/>
      <w:numFmt w:val="bullet"/>
      <w:lvlText w:val=""/>
      <w:lvlJc w:val="left"/>
      <w:pPr>
        <w:tabs>
          <w:tab w:val="num" w:pos="1531"/>
        </w:tabs>
        <w:ind w:left="1531" w:hanging="454"/>
      </w:pPr>
      <w:rPr>
        <w:rFonts w:ascii="Symbol" w:hAnsi="Symbol" w:hint="default"/>
        <w:color w:val="auto"/>
        <w:sz w:val="23"/>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 w15:restartNumberingAfterBreak="0">
    <w:nsid w:val="10426ED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A03B59"/>
    <w:multiLevelType w:val="hybridMultilevel"/>
    <w:tmpl w:val="76504078"/>
    <w:lvl w:ilvl="0" w:tplc="0C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17364F0"/>
    <w:multiLevelType w:val="hybridMultilevel"/>
    <w:tmpl w:val="312CCA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9DB6C41"/>
    <w:multiLevelType w:val="hybridMultilevel"/>
    <w:tmpl w:val="B14416D4"/>
    <w:lvl w:ilvl="0" w:tplc="0C09000F">
      <w:start w:val="1"/>
      <w:numFmt w:val="decimal"/>
      <w:lvlText w:val="%1."/>
      <w:lvlJc w:val="left"/>
      <w:pPr>
        <w:tabs>
          <w:tab w:val="num" w:pos="776"/>
        </w:tabs>
        <w:ind w:left="776" w:hanging="360"/>
      </w:pPr>
    </w:lvl>
    <w:lvl w:ilvl="1" w:tplc="0C090019">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14"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FEA576A"/>
    <w:multiLevelType w:val="hybridMultilevel"/>
    <w:tmpl w:val="6D1A0F46"/>
    <w:lvl w:ilvl="0" w:tplc="B532E7C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3FA3819"/>
    <w:multiLevelType w:val="multilevel"/>
    <w:tmpl w:val="970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79489D"/>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414B27"/>
    <w:multiLevelType w:val="multilevel"/>
    <w:tmpl w:val="312CC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455A01"/>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011D5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0B0B4F"/>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7" w15:restartNumberingAfterBreak="0">
    <w:nsid w:val="5AF65E16"/>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7A5E1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A2334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5C1AB2"/>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BE4382"/>
    <w:multiLevelType w:val="hybridMultilevel"/>
    <w:tmpl w:val="DF404478"/>
    <w:lvl w:ilvl="0" w:tplc="2E4A278C">
      <w:start w:val="1"/>
      <w:numFmt w:val="decimal"/>
      <w:lvlText w:val="%1."/>
      <w:lvlJc w:val="left"/>
      <w:pPr>
        <w:tabs>
          <w:tab w:val="num" w:pos="360"/>
        </w:tabs>
        <w:ind w:left="360" w:hanging="360"/>
      </w:pPr>
      <w:rPr>
        <w:b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76B67378"/>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76B259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24"/>
  </w:num>
  <w:num w:numId="4">
    <w:abstractNumId w:val="38"/>
  </w:num>
  <w:num w:numId="5">
    <w:abstractNumId w:val="18"/>
  </w:num>
  <w:num w:numId="6">
    <w:abstractNumId w:val="35"/>
  </w:num>
  <w:num w:numId="7">
    <w:abstractNumId w:val="6"/>
  </w:num>
  <w:num w:numId="8">
    <w:abstractNumId w:val="29"/>
  </w:num>
  <w:num w:numId="9">
    <w:abstractNumId w:val="27"/>
  </w:num>
  <w:num w:numId="10">
    <w:abstractNumId w:val="22"/>
  </w:num>
  <w:num w:numId="11">
    <w:abstractNumId w:val="8"/>
  </w:num>
  <w:num w:numId="12">
    <w:abstractNumId w:val="31"/>
  </w:num>
  <w:num w:numId="13">
    <w:abstractNumId w:val="23"/>
  </w:num>
  <w:num w:numId="14">
    <w:abstractNumId w:val="26"/>
  </w:num>
  <w:num w:numId="15">
    <w:abstractNumId w:val="36"/>
  </w:num>
  <w:num w:numId="16">
    <w:abstractNumId w:val="26"/>
  </w:num>
  <w:num w:numId="17">
    <w:abstractNumId w:val="4"/>
  </w:num>
  <w:num w:numId="18">
    <w:abstractNumId w:val="21"/>
  </w:num>
  <w:num w:numId="19">
    <w:abstractNumId w:val="1"/>
  </w:num>
  <w:num w:numId="20">
    <w:abstractNumId w:val="16"/>
  </w:num>
  <w:num w:numId="21">
    <w:abstractNumId w:val="1"/>
  </w:num>
  <w:num w:numId="22">
    <w:abstractNumId w:val="36"/>
  </w:num>
  <w:num w:numId="23">
    <w:abstractNumId w:val="26"/>
  </w:num>
  <w:num w:numId="24">
    <w:abstractNumId w:val="4"/>
  </w:num>
  <w:num w:numId="25">
    <w:abstractNumId w:val="21"/>
  </w:num>
  <w:num w:numId="26">
    <w:abstractNumId w:val="2"/>
  </w:num>
  <w:num w:numId="27">
    <w:abstractNumId w:val="32"/>
  </w:num>
  <w:num w:numId="28">
    <w:abstractNumId w:val="12"/>
  </w:num>
  <w:num w:numId="29">
    <w:abstractNumId w:val="39"/>
  </w:num>
  <w:num w:numId="30">
    <w:abstractNumId w:val="15"/>
  </w:num>
  <w:num w:numId="31">
    <w:abstractNumId w:val="10"/>
  </w:num>
  <w:num w:numId="32">
    <w:abstractNumId w:val="9"/>
  </w:num>
  <w:num w:numId="33">
    <w:abstractNumId w:val="25"/>
  </w:num>
  <w:num w:numId="34">
    <w:abstractNumId w:val="30"/>
  </w:num>
  <w:num w:numId="35">
    <w:abstractNumId w:val="33"/>
  </w:num>
  <w:num w:numId="36">
    <w:abstractNumId w:val="11"/>
  </w:num>
  <w:num w:numId="37">
    <w:abstractNumId w:val="34"/>
  </w:num>
  <w:num w:numId="38">
    <w:abstractNumId w:val="20"/>
  </w:num>
  <w:num w:numId="39">
    <w:abstractNumId w:val="19"/>
  </w:num>
  <w:num w:numId="40">
    <w:abstractNumId w:val="17"/>
  </w:num>
  <w:num w:numId="41">
    <w:abstractNumId w:val="5"/>
  </w:num>
  <w:num w:numId="42">
    <w:abstractNumId w:val="14"/>
  </w:num>
  <w:num w:numId="43">
    <w:abstractNumId w:val="40"/>
  </w:num>
  <w:num w:numId="44">
    <w:abstractNumId w:val="37"/>
  </w:num>
  <w:num w:numId="45">
    <w:abstractNumId w:val="3"/>
  </w:num>
  <w:num w:numId="46">
    <w:abstractNumId w:val="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D1"/>
    <w:rsid w:val="0000706A"/>
    <w:rsid w:val="000455EC"/>
    <w:rsid w:val="0005520C"/>
    <w:rsid w:val="00060480"/>
    <w:rsid w:val="000704C0"/>
    <w:rsid w:val="000851A4"/>
    <w:rsid w:val="000E20D0"/>
    <w:rsid w:val="0011266A"/>
    <w:rsid w:val="00152B45"/>
    <w:rsid w:val="00180EDB"/>
    <w:rsid w:val="0018358E"/>
    <w:rsid w:val="00186FC3"/>
    <w:rsid w:val="00187946"/>
    <w:rsid w:val="001C5C47"/>
    <w:rsid w:val="001F02E8"/>
    <w:rsid w:val="00252E60"/>
    <w:rsid w:val="0025436A"/>
    <w:rsid w:val="002676EC"/>
    <w:rsid w:val="00277D78"/>
    <w:rsid w:val="002806B7"/>
    <w:rsid w:val="0029502A"/>
    <w:rsid w:val="002B02FD"/>
    <w:rsid w:val="002D4245"/>
    <w:rsid w:val="002E287D"/>
    <w:rsid w:val="003046FE"/>
    <w:rsid w:val="00310F46"/>
    <w:rsid w:val="00312AA0"/>
    <w:rsid w:val="003546B0"/>
    <w:rsid w:val="00355094"/>
    <w:rsid w:val="00360FD6"/>
    <w:rsid w:val="00361B46"/>
    <w:rsid w:val="00392ABB"/>
    <w:rsid w:val="003B2412"/>
    <w:rsid w:val="003B4C79"/>
    <w:rsid w:val="003E1198"/>
    <w:rsid w:val="004367D0"/>
    <w:rsid w:val="00451A6D"/>
    <w:rsid w:val="0045700A"/>
    <w:rsid w:val="004635C1"/>
    <w:rsid w:val="004677F1"/>
    <w:rsid w:val="00485E0A"/>
    <w:rsid w:val="004B276B"/>
    <w:rsid w:val="004C565F"/>
    <w:rsid w:val="004C5A54"/>
    <w:rsid w:val="00515706"/>
    <w:rsid w:val="00522272"/>
    <w:rsid w:val="00540C7B"/>
    <w:rsid w:val="005535C5"/>
    <w:rsid w:val="00557F53"/>
    <w:rsid w:val="00560F27"/>
    <w:rsid w:val="0056466F"/>
    <w:rsid w:val="00571DC4"/>
    <w:rsid w:val="00591C4E"/>
    <w:rsid w:val="00595143"/>
    <w:rsid w:val="0059637D"/>
    <w:rsid w:val="005A2C11"/>
    <w:rsid w:val="005A5013"/>
    <w:rsid w:val="005D400B"/>
    <w:rsid w:val="005E408F"/>
    <w:rsid w:val="005F1ED3"/>
    <w:rsid w:val="006051CB"/>
    <w:rsid w:val="00614D3C"/>
    <w:rsid w:val="00627623"/>
    <w:rsid w:val="00630279"/>
    <w:rsid w:val="00631E60"/>
    <w:rsid w:val="0065620E"/>
    <w:rsid w:val="00685B60"/>
    <w:rsid w:val="006862CE"/>
    <w:rsid w:val="00696CF7"/>
    <w:rsid w:val="006A1FA0"/>
    <w:rsid w:val="006B2C1F"/>
    <w:rsid w:val="006D27D4"/>
    <w:rsid w:val="006D3F7D"/>
    <w:rsid w:val="006F0676"/>
    <w:rsid w:val="006F2F07"/>
    <w:rsid w:val="00706B3C"/>
    <w:rsid w:val="00722D58"/>
    <w:rsid w:val="007370E8"/>
    <w:rsid w:val="00747101"/>
    <w:rsid w:val="00752CFA"/>
    <w:rsid w:val="00774813"/>
    <w:rsid w:val="0079033D"/>
    <w:rsid w:val="007A00C1"/>
    <w:rsid w:val="007A22A4"/>
    <w:rsid w:val="007A6B61"/>
    <w:rsid w:val="007B7EC7"/>
    <w:rsid w:val="007C5D57"/>
    <w:rsid w:val="007E18AD"/>
    <w:rsid w:val="00814262"/>
    <w:rsid w:val="00820DA3"/>
    <w:rsid w:val="00826CAC"/>
    <w:rsid w:val="00827922"/>
    <w:rsid w:val="00832E6D"/>
    <w:rsid w:val="0083708B"/>
    <w:rsid w:val="008403CF"/>
    <w:rsid w:val="00840934"/>
    <w:rsid w:val="0085166C"/>
    <w:rsid w:val="008551D0"/>
    <w:rsid w:val="00856692"/>
    <w:rsid w:val="008668E1"/>
    <w:rsid w:val="008727EB"/>
    <w:rsid w:val="00887450"/>
    <w:rsid w:val="008A64D2"/>
    <w:rsid w:val="008B434F"/>
    <w:rsid w:val="008E1256"/>
    <w:rsid w:val="008E17A5"/>
    <w:rsid w:val="008E368A"/>
    <w:rsid w:val="008E78CC"/>
    <w:rsid w:val="0090158F"/>
    <w:rsid w:val="009158FC"/>
    <w:rsid w:val="00945427"/>
    <w:rsid w:val="00952787"/>
    <w:rsid w:val="00964843"/>
    <w:rsid w:val="00970B65"/>
    <w:rsid w:val="009710BC"/>
    <w:rsid w:val="009715B0"/>
    <w:rsid w:val="00975323"/>
    <w:rsid w:val="00997C80"/>
    <w:rsid w:val="009B581E"/>
    <w:rsid w:val="009D324F"/>
    <w:rsid w:val="009D461E"/>
    <w:rsid w:val="009E64A4"/>
    <w:rsid w:val="009F5130"/>
    <w:rsid w:val="009F5419"/>
    <w:rsid w:val="00A11FBB"/>
    <w:rsid w:val="00A21331"/>
    <w:rsid w:val="00A50826"/>
    <w:rsid w:val="00A55E4D"/>
    <w:rsid w:val="00A6221E"/>
    <w:rsid w:val="00A91538"/>
    <w:rsid w:val="00A96C88"/>
    <w:rsid w:val="00AC18A4"/>
    <w:rsid w:val="00AD277A"/>
    <w:rsid w:val="00AD7A9D"/>
    <w:rsid w:val="00AE6038"/>
    <w:rsid w:val="00B133B9"/>
    <w:rsid w:val="00B15C65"/>
    <w:rsid w:val="00B21F0C"/>
    <w:rsid w:val="00B22909"/>
    <w:rsid w:val="00B26013"/>
    <w:rsid w:val="00B3321A"/>
    <w:rsid w:val="00B34EA8"/>
    <w:rsid w:val="00B46A4E"/>
    <w:rsid w:val="00B47527"/>
    <w:rsid w:val="00B577C5"/>
    <w:rsid w:val="00BA6B1D"/>
    <w:rsid w:val="00BB5E42"/>
    <w:rsid w:val="00BE437D"/>
    <w:rsid w:val="00BE6F32"/>
    <w:rsid w:val="00BF6981"/>
    <w:rsid w:val="00BF6FD4"/>
    <w:rsid w:val="00C11B3D"/>
    <w:rsid w:val="00C12939"/>
    <w:rsid w:val="00C13414"/>
    <w:rsid w:val="00C149F6"/>
    <w:rsid w:val="00C23ABB"/>
    <w:rsid w:val="00C2490F"/>
    <w:rsid w:val="00C2657F"/>
    <w:rsid w:val="00C27F68"/>
    <w:rsid w:val="00C30329"/>
    <w:rsid w:val="00C325A1"/>
    <w:rsid w:val="00C56904"/>
    <w:rsid w:val="00C8361E"/>
    <w:rsid w:val="00CB3466"/>
    <w:rsid w:val="00CC75AD"/>
    <w:rsid w:val="00CE05CC"/>
    <w:rsid w:val="00CE7993"/>
    <w:rsid w:val="00CF0639"/>
    <w:rsid w:val="00D242FE"/>
    <w:rsid w:val="00D44E94"/>
    <w:rsid w:val="00D62C40"/>
    <w:rsid w:val="00D65E90"/>
    <w:rsid w:val="00D82079"/>
    <w:rsid w:val="00D85E61"/>
    <w:rsid w:val="00DA4564"/>
    <w:rsid w:val="00DA66B6"/>
    <w:rsid w:val="00DC47ED"/>
    <w:rsid w:val="00DD6C87"/>
    <w:rsid w:val="00E10C09"/>
    <w:rsid w:val="00E12EBA"/>
    <w:rsid w:val="00E211B0"/>
    <w:rsid w:val="00E37B68"/>
    <w:rsid w:val="00E4797D"/>
    <w:rsid w:val="00E6758B"/>
    <w:rsid w:val="00E7299C"/>
    <w:rsid w:val="00E775F7"/>
    <w:rsid w:val="00E96B91"/>
    <w:rsid w:val="00EA6D8A"/>
    <w:rsid w:val="00EB0979"/>
    <w:rsid w:val="00EB4CD3"/>
    <w:rsid w:val="00EC06FB"/>
    <w:rsid w:val="00EC3967"/>
    <w:rsid w:val="00ED10EC"/>
    <w:rsid w:val="00EE4BD1"/>
    <w:rsid w:val="00EE5B20"/>
    <w:rsid w:val="00EF4CD1"/>
    <w:rsid w:val="00F17536"/>
    <w:rsid w:val="00F43BA1"/>
    <w:rsid w:val="00F76957"/>
    <w:rsid w:val="00FB44DA"/>
    <w:rsid w:val="00FB4E43"/>
    <w:rsid w:val="00FC11E5"/>
    <w:rsid w:val="00FD6F0A"/>
    <w:rsid w:val="00FE5652"/>
    <w:rsid w:val="00FE6256"/>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rsid w:val="008551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8551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8551D0"/>
    <w:pPr>
      <w:keepNext/>
      <w:jc w:val="center"/>
      <w:outlineLvl w:val="2"/>
    </w:pPr>
    <w:rPr>
      <w:b/>
    </w:rPr>
  </w:style>
  <w:style w:type="paragraph" w:styleId="Heading4">
    <w:name w:val="heading 4"/>
    <w:basedOn w:val="Normal"/>
    <w:next w:val="Normal"/>
    <w:qFormat/>
    <w:rsid w:val="008551D0"/>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1D0"/>
    <w:pPr>
      <w:tabs>
        <w:tab w:val="center" w:pos="4153"/>
        <w:tab w:val="right" w:pos="8306"/>
      </w:tabs>
    </w:pPr>
    <w:rPr>
      <w:color w:val="auto"/>
    </w:rPr>
  </w:style>
  <w:style w:type="character" w:styleId="PageNumber">
    <w:name w:val="page number"/>
    <w:basedOn w:val="DefaultParagraphFont"/>
    <w:rsid w:val="008551D0"/>
  </w:style>
  <w:style w:type="paragraph" w:styleId="Footer">
    <w:name w:val="footer"/>
    <w:basedOn w:val="Normal"/>
    <w:rsid w:val="008551D0"/>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7"/>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paragraph" w:customStyle="1" w:styleId="Headings">
    <w:name w:val="Headings"/>
    <w:basedOn w:val="Normal"/>
    <w:rsid w:val="00826CAC"/>
    <w:pPr>
      <w:widowControl w:val="0"/>
      <w:spacing w:line="288" w:lineRule="auto"/>
    </w:pPr>
    <w:rPr>
      <w:b/>
      <w:snapToGrid w:val="0"/>
      <w:color w:val="auto"/>
      <w:sz w:val="22"/>
      <w:lang w:val="en-US" w:eastAsia="en-US"/>
    </w:rPr>
  </w:style>
  <w:style w:type="character" w:customStyle="1" w:styleId="HeaderChar">
    <w:name w:val="Header Char"/>
    <w:basedOn w:val="DefaultParagraphFont"/>
    <w:link w:val="Header"/>
    <w:uiPriority w:val="99"/>
    <w:rsid w:val="00DD6C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97769-F1AA-49E6-9076-E5524218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991</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CharactersWithSpaces>
  <SharedDoc>false</SharedDoc>
  <HyperlinkBase>https://www.cabinet.qld.gov.au/documents/2012/May/Future of Qld Workplace Rights Ombudsman and Qld Workplace Rights Office/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2012-06-05T00:46:00Z</cp:lastPrinted>
  <dcterms:created xsi:type="dcterms:W3CDTF">2017-10-24T23:19:00Z</dcterms:created>
  <dcterms:modified xsi:type="dcterms:W3CDTF">2018-03-06T01:14:00Z</dcterms:modified>
  <cp:category>Industrial_Relations,Significant_Appointments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2060564128</vt:i4>
  </property>
  <property fmtid="{D5CDD505-2E9C-101B-9397-08002B2CF9AE}" pid="3" name="_NewReviewCycle">
    <vt:lpwstr/>
  </property>
  <property fmtid="{D5CDD505-2E9C-101B-9397-08002B2CF9AE}" pid="4" name="_PreviousAdHocReviewCycleID">
    <vt:i4>816424259</vt:i4>
  </property>
  <property fmtid="{D5CDD505-2E9C-101B-9397-08002B2CF9AE}" pid="5" name="_ReviewingToolsShownOnce">
    <vt:lpwstr/>
  </property>
</Properties>
</file>